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68" w:rsidRPr="00837B9B" w:rsidRDefault="004A6968" w:rsidP="004A6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968" w:rsidRPr="00837B9B" w:rsidRDefault="004A6968" w:rsidP="004A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68" w:rsidRPr="002041DB" w:rsidRDefault="004A6968" w:rsidP="004A6968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968" w:rsidRPr="002041DB" w:rsidRDefault="004A6968" w:rsidP="004A6968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968" w:rsidRPr="002041DB" w:rsidRDefault="004A6968" w:rsidP="004A6968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4A6968" w:rsidRPr="002041DB" w:rsidTr="004A6968">
        <w:tc>
          <w:tcPr>
            <w:tcW w:w="9570" w:type="dxa"/>
          </w:tcPr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2041DB">
              <w:rPr>
                <w:sz w:val="28"/>
                <w:szCs w:val="28"/>
                <w:lang w:eastAsia="en-US"/>
              </w:rPr>
              <w:t>УРЖУМСКАЯ РАЙОННАЯ ДУМА ШЕСТОГО СОЗЫВА</w:t>
            </w:r>
          </w:p>
        </w:tc>
      </w:tr>
      <w:tr w:rsidR="004A6968" w:rsidRPr="002041DB" w:rsidTr="004A6968">
        <w:tc>
          <w:tcPr>
            <w:tcW w:w="9570" w:type="dxa"/>
          </w:tcPr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6968" w:rsidRPr="002041DB" w:rsidTr="004A6968">
        <w:tc>
          <w:tcPr>
            <w:tcW w:w="9570" w:type="dxa"/>
            <w:hideMark/>
          </w:tcPr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2041DB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4A6968" w:rsidRPr="002041DB" w:rsidTr="004A6968">
        <w:tc>
          <w:tcPr>
            <w:tcW w:w="9570" w:type="dxa"/>
          </w:tcPr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6968" w:rsidRPr="002041DB" w:rsidTr="004A6968">
        <w:tc>
          <w:tcPr>
            <w:tcW w:w="9570" w:type="dxa"/>
            <w:hideMark/>
          </w:tcPr>
          <w:p w:rsidR="004A6968" w:rsidRPr="002041DB" w:rsidRDefault="00C37E66" w:rsidP="00C37E66">
            <w:pPr>
              <w:pStyle w:val="ConsPlusTitle"/>
              <w:widowControl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26.03.2025</w:t>
            </w:r>
            <w:r w:rsidR="004A6968" w:rsidRPr="002041DB">
              <w:rPr>
                <w:b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</w:t>
            </w:r>
            <w:r w:rsidR="00113807" w:rsidRPr="002041DB">
              <w:rPr>
                <w:b w:val="0"/>
                <w:sz w:val="28"/>
                <w:szCs w:val="28"/>
                <w:lang w:eastAsia="en-US"/>
              </w:rPr>
              <w:t xml:space="preserve">    </w:t>
            </w:r>
            <w:r w:rsidR="004A6968" w:rsidRPr="002041DB">
              <w:rPr>
                <w:b w:val="0"/>
                <w:sz w:val="28"/>
                <w:szCs w:val="28"/>
                <w:lang w:eastAsia="en-US"/>
              </w:rPr>
              <w:t xml:space="preserve"> №</w:t>
            </w:r>
            <w:r w:rsidR="002041DB" w:rsidRPr="002041DB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35/275</w:t>
            </w:r>
          </w:p>
        </w:tc>
      </w:tr>
      <w:tr w:rsidR="004A6968" w:rsidRPr="002041DB" w:rsidTr="004A6968">
        <w:tc>
          <w:tcPr>
            <w:tcW w:w="9571" w:type="dxa"/>
            <w:hideMark/>
          </w:tcPr>
          <w:p w:rsidR="004A6968" w:rsidRPr="002041DB" w:rsidRDefault="004A6968" w:rsidP="004A6968">
            <w:pPr>
              <w:pStyle w:val="ConsPlusTitle"/>
              <w:widowControl/>
              <w:rPr>
                <w:b w:val="0"/>
                <w:sz w:val="28"/>
                <w:szCs w:val="28"/>
                <w:lang w:eastAsia="en-US"/>
              </w:rPr>
            </w:pPr>
            <w:r w:rsidRPr="002041DB">
              <w:rPr>
                <w:b w:val="0"/>
                <w:sz w:val="28"/>
                <w:szCs w:val="28"/>
                <w:lang w:eastAsia="en-US"/>
              </w:rPr>
              <w:t xml:space="preserve">                                             г. Уржум, Кировской области</w:t>
            </w:r>
          </w:p>
        </w:tc>
      </w:tr>
    </w:tbl>
    <w:p w:rsidR="004A6968" w:rsidRPr="002041DB" w:rsidRDefault="004A6968" w:rsidP="004A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68" w:rsidRPr="002041DB" w:rsidRDefault="004A6968" w:rsidP="004A6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DB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Start w:id="0" w:name="_Hlk69885523"/>
      <w:r w:rsidRPr="002041DB">
        <w:rPr>
          <w:rFonts w:ascii="Times New Roman" w:hAnsi="Times New Roman" w:cs="Times New Roman"/>
          <w:b/>
          <w:sz w:val="28"/>
          <w:szCs w:val="28"/>
        </w:rPr>
        <w:t>участии администрации Уржумского муниципального района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Уржумского муниципального района</w:t>
      </w:r>
      <w:bookmarkEnd w:id="0"/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4A6968" w:rsidRPr="002041DB" w:rsidTr="004A6968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968" w:rsidRPr="002041DB" w:rsidRDefault="004A6968" w:rsidP="004A69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968" w:rsidRPr="002041DB" w:rsidRDefault="004A6968" w:rsidP="004A6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25 Устава Уржумского муниципального района, на основании ходатайства главы администрации Уржумского муниципального района и обращений населения Уржумского </w:t>
      </w:r>
      <w:proofErr w:type="gramStart"/>
      <w:r w:rsidRPr="002041DB">
        <w:rPr>
          <w:rFonts w:ascii="Times New Roman" w:hAnsi="Times New Roman" w:cs="Times New Roman"/>
          <w:sz w:val="28"/>
          <w:szCs w:val="28"/>
        </w:rPr>
        <w:t>района  Уржумская</w:t>
      </w:r>
      <w:proofErr w:type="gramEnd"/>
      <w:r w:rsidRPr="002041DB">
        <w:rPr>
          <w:rFonts w:ascii="Times New Roman" w:hAnsi="Times New Roman" w:cs="Times New Roman"/>
          <w:sz w:val="28"/>
          <w:szCs w:val="28"/>
        </w:rPr>
        <w:t xml:space="preserve"> районная Дума  </w:t>
      </w:r>
      <w:r w:rsidRPr="002041D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041DB">
        <w:rPr>
          <w:rFonts w:ascii="Times New Roman" w:hAnsi="Times New Roman" w:cs="Times New Roman"/>
          <w:sz w:val="28"/>
          <w:szCs w:val="28"/>
        </w:rPr>
        <w:t>:</w:t>
      </w:r>
    </w:p>
    <w:p w:rsidR="004A6968" w:rsidRPr="002041DB" w:rsidRDefault="004A6968" w:rsidP="004A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69A8" w:rsidRPr="002041DB" w:rsidRDefault="004A6968" w:rsidP="00393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 xml:space="preserve">1.Информацию об участии администрации Уржумского муниципального района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Уржумского муниципального района принять к сведению. </w:t>
      </w:r>
    </w:p>
    <w:p w:rsidR="004A6968" w:rsidRPr="002041DB" w:rsidRDefault="00C024AC" w:rsidP="007A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127" w:rsidRPr="002041DB">
        <w:rPr>
          <w:rFonts w:ascii="Times New Roman" w:hAnsi="Times New Roman" w:cs="Times New Roman"/>
          <w:sz w:val="28"/>
          <w:szCs w:val="28"/>
        </w:rPr>
        <w:t xml:space="preserve">2. Администрации Уржумского муниципального района </w:t>
      </w:r>
      <w:r w:rsidR="003935DB" w:rsidRPr="002041DB">
        <w:rPr>
          <w:rFonts w:ascii="Times New Roman" w:hAnsi="Times New Roman" w:cs="Times New Roman"/>
          <w:sz w:val="28"/>
          <w:szCs w:val="28"/>
        </w:rPr>
        <w:t xml:space="preserve">активизировать всеми доступными способами </w:t>
      </w:r>
      <w:r w:rsidR="00213127" w:rsidRPr="002041DB">
        <w:rPr>
          <w:rFonts w:ascii="Times New Roman" w:hAnsi="Times New Roman" w:cs="Times New Roman"/>
          <w:sz w:val="28"/>
          <w:szCs w:val="28"/>
        </w:rPr>
        <w:t>информационную работу</w:t>
      </w:r>
      <w:r w:rsidRPr="002041DB">
        <w:rPr>
          <w:rFonts w:ascii="Times New Roman" w:hAnsi="Times New Roman" w:cs="Times New Roman"/>
          <w:sz w:val="28"/>
          <w:szCs w:val="28"/>
        </w:rPr>
        <w:t xml:space="preserve"> среди населения по</w:t>
      </w:r>
      <w:r w:rsidR="007A69A8" w:rsidRPr="002041DB">
        <w:rPr>
          <w:rFonts w:ascii="Times New Roman" w:hAnsi="Times New Roman" w:cs="Times New Roman"/>
          <w:sz w:val="28"/>
          <w:szCs w:val="28"/>
        </w:rPr>
        <w:t xml:space="preserve"> </w:t>
      </w:r>
      <w:r w:rsidR="003935DB" w:rsidRPr="002041DB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7A69A8" w:rsidRPr="002041DB">
        <w:rPr>
          <w:rFonts w:ascii="Times New Roman" w:hAnsi="Times New Roman" w:cs="Times New Roman"/>
          <w:sz w:val="28"/>
          <w:szCs w:val="28"/>
        </w:rPr>
        <w:t>накоплени</w:t>
      </w:r>
      <w:r w:rsidR="003935DB" w:rsidRPr="002041DB">
        <w:rPr>
          <w:rFonts w:ascii="Times New Roman" w:hAnsi="Times New Roman" w:cs="Times New Roman"/>
          <w:sz w:val="28"/>
          <w:szCs w:val="28"/>
        </w:rPr>
        <w:t>я</w:t>
      </w:r>
      <w:r w:rsidR="007A69A8" w:rsidRPr="002041DB">
        <w:rPr>
          <w:rFonts w:ascii="Times New Roman" w:hAnsi="Times New Roman" w:cs="Times New Roman"/>
          <w:sz w:val="28"/>
          <w:szCs w:val="28"/>
        </w:rPr>
        <w:t xml:space="preserve"> (в том числе раздельному накоплени</w:t>
      </w:r>
      <w:r w:rsidR="00113807" w:rsidRPr="002041DB">
        <w:rPr>
          <w:rFonts w:ascii="Times New Roman" w:hAnsi="Times New Roman" w:cs="Times New Roman"/>
          <w:sz w:val="28"/>
          <w:szCs w:val="28"/>
        </w:rPr>
        <w:t>ю</w:t>
      </w:r>
      <w:r w:rsidR="007A69A8" w:rsidRPr="002041DB">
        <w:rPr>
          <w:rFonts w:ascii="Times New Roman" w:hAnsi="Times New Roman" w:cs="Times New Roman"/>
          <w:sz w:val="28"/>
          <w:szCs w:val="28"/>
        </w:rPr>
        <w:t>), сбор</w:t>
      </w:r>
      <w:r w:rsidR="003935DB" w:rsidRPr="002041DB">
        <w:rPr>
          <w:rFonts w:ascii="Times New Roman" w:hAnsi="Times New Roman" w:cs="Times New Roman"/>
          <w:sz w:val="28"/>
          <w:szCs w:val="28"/>
        </w:rPr>
        <w:t>а, транспортирования</w:t>
      </w:r>
      <w:r w:rsidR="007A69A8" w:rsidRPr="002041DB">
        <w:rPr>
          <w:rFonts w:ascii="Times New Roman" w:hAnsi="Times New Roman" w:cs="Times New Roman"/>
          <w:sz w:val="28"/>
          <w:szCs w:val="28"/>
        </w:rPr>
        <w:t>, обработке, утилизации, обезвреживанию, захоронению твердых коммунальных отходов на территории Уржумского муниципального района</w:t>
      </w:r>
      <w:r w:rsidR="003935DB" w:rsidRPr="002041DB">
        <w:rPr>
          <w:rFonts w:ascii="Times New Roman" w:hAnsi="Times New Roman" w:cs="Times New Roman"/>
          <w:sz w:val="28"/>
          <w:szCs w:val="28"/>
        </w:rPr>
        <w:t>.</w:t>
      </w: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ab/>
      </w:r>
      <w:r w:rsidR="008B6B11" w:rsidRPr="002041DB">
        <w:rPr>
          <w:rFonts w:ascii="Times New Roman" w:hAnsi="Times New Roman" w:cs="Times New Roman"/>
          <w:sz w:val="28"/>
          <w:szCs w:val="28"/>
        </w:rPr>
        <w:t>3</w:t>
      </w:r>
      <w:r w:rsidRPr="002041DB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68" w:rsidRPr="002041DB" w:rsidRDefault="004A6968" w:rsidP="004A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Уржумской </w:t>
      </w:r>
    </w:p>
    <w:p w:rsidR="004A6968" w:rsidRPr="002041DB" w:rsidRDefault="004A6968" w:rsidP="004A6968">
      <w:pPr>
        <w:spacing w:after="0" w:line="240" w:lineRule="auto"/>
        <w:rPr>
          <w:sz w:val="28"/>
          <w:szCs w:val="28"/>
        </w:rPr>
      </w:pPr>
      <w:r w:rsidRPr="002041DB">
        <w:rPr>
          <w:rFonts w:ascii="Times New Roman" w:hAnsi="Times New Roman" w:cs="Times New Roman"/>
          <w:b/>
          <w:bCs/>
          <w:sz w:val="28"/>
          <w:szCs w:val="28"/>
        </w:rPr>
        <w:t>районной Думы                                                                          Л.Ю. Воробьева</w:t>
      </w:r>
    </w:p>
    <w:p w:rsidR="004A6968" w:rsidRPr="002041DB" w:rsidRDefault="004A6968" w:rsidP="004A6968">
      <w:pPr>
        <w:pStyle w:val="a4"/>
        <w:rPr>
          <w:sz w:val="28"/>
          <w:szCs w:val="28"/>
        </w:rPr>
      </w:pPr>
    </w:p>
    <w:p w:rsidR="004A6968" w:rsidRDefault="004A6968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F97" w:rsidRDefault="00BB7F97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F97" w:rsidRDefault="00BB7F97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F97" w:rsidRDefault="00BB7F97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F97" w:rsidRDefault="00BB7F97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F97" w:rsidRDefault="00BB7F97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F97" w:rsidRDefault="00BB7F97" w:rsidP="00BB7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BB7F97" w:rsidRDefault="00BB7F97" w:rsidP="00BB7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«Об участии администрации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Уржумского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Уржумского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района»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Раздел.1 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Правовые основы обращения с твердыми коммунальными отходами (далее – ТКО), определены Федеральным законом от 24.06.1998 N 89-ФЗ «Об отходах производства и потребления».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класс - чрезвычайно опасные отходы;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класс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отходы;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класс - умеренно опасные отходы;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класс - малоопасные отходы;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класс - практически неопасные отходы.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 xml:space="preserve"> (далее - ТКО) являются: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отходы, образующиеся в жилых помещениях в процессе потребления физическими лицами;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товары, утратившие свои потребительские свойства в процессе их использования физическими лицами в жилых помещениях для удовлетворения личных и бытовых нужд;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отходы, образующиеся в процессе деятельности юридических лиц, ИП и подобные по составу отходам, образующимся в жилых помещениях в процессе потребления физическими лицами.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Обращение с ТКО</w:t>
      </w:r>
      <w:r>
        <w:rPr>
          <w:rFonts w:ascii="Times New Roman" w:hAnsi="Times New Roman" w:cs="Times New Roman"/>
          <w:sz w:val="24"/>
          <w:szCs w:val="24"/>
        </w:rPr>
        <w:t xml:space="preserve"> – это транспортирование, обезвреживание, захоронение.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Коммунальную услугу</w:t>
      </w:r>
      <w:r>
        <w:rPr>
          <w:rFonts w:ascii="Times New Roman" w:hAnsi="Times New Roman" w:cs="Times New Roman"/>
          <w:sz w:val="24"/>
          <w:szCs w:val="24"/>
        </w:rPr>
        <w:t xml:space="preserve"> по обращению с ТКО оказывает региональный оператор по обращению с ТКО (на территории Кировской области АО «Куприт»). Размер платы за такую услугу, предоставленную в жилом помещении, определяется в порядке, установленном п. 148(30) Правил предоставления коммунальных услуг, утвержденными Постановлением Правительства РФ от 06.05.2011 N 354.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Правилами обращения с твердыми коммунальными отходами, утвержденными Постановлением Правительства РФ от 12 ноября 2016 г. N 1156, утвержден Порядок осуществления транспортирования твердых коммунальных отходов.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Потребители осуществляют </w:t>
      </w:r>
      <w:r>
        <w:rPr>
          <w:rFonts w:ascii="Times New Roman" w:hAnsi="Times New Roman" w:cs="Times New Roman"/>
          <w:b/>
          <w:bCs/>
          <w:sz w:val="24"/>
          <w:szCs w:val="24"/>
        </w:rPr>
        <w:t>складирование твердых коммунальных отходов в местах (площадках)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договором на оказание услуг по обращению с твердыми коммунальными отходами в местах (площадках) </w:t>
      </w:r>
      <w:r>
        <w:rPr>
          <w:rFonts w:ascii="Times New Roman" w:hAnsi="Times New Roman" w:cs="Times New Roman"/>
          <w:b/>
          <w:bCs/>
          <w:sz w:val="24"/>
          <w:szCs w:val="24"/>
        </w:rPr>
        <w:t>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 xml:space="preserve"> складирование твердых коммунальных отходов осуществляется потребителями следующими способами:</w:t>
      </w:r>
    </w:p>
    <w:p w:rsidR="00BB7F97" w:rsidRDefault="00BB7F97" w:rsidP="00BB7F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bCs/>
          <w:sz w:val="24"/>
          <w:szCs w:val="24"/>
        </w:rPr>
        <w:t>в контейнеры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расположенные </w:t>
      </w:r>
      <w:r>
        <w:rPr>
          <w:rFonts w:ascii="Times New Roman" w:hAnsi="Times New Roman" w:cs="Times New Roman"/>
          <w:b/>
          <w:bCs/>
          <w:sz w:val="24"/>
          <w:szCs w:val="24"/>
        </w:rPr>
        <w:t>в мусороприемных камерах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соответствующей внутридомовой инженерной системы);</w:t>
      </w:r>
    </w:p>
    <w:p w:rsidR="00BB7F97" w:rsidRDefault="00BB7F97" w:rsidP="00BB7F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bCs/>
          <w:sz w:val="24"/>
          <w:szCs w:val="24"/>
        </w:rPr>
        <w:t>в контейнеры, бункеры, расположенные на контейнерных площадках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F97" w:rsidRDefault="00BB7F97" w:rsidP="00BB7F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bCs/>
          <w:sz w:val="24"/>
          <w:szCs w:val="24"/>
        </w:rPr>
        <w:t>в пакеты или другие емкости, предоставленные региональным оператором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F97" w:rsidRDefault="00BB7F97" w:rsidP="00BB7F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договором на оказание услуг по обращению с твердыми коммунальными отходами в местах (площадках) накопления твердых коммунальных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отходов складирование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крупногабаритных отходов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потребителями следующими способами:</w:t>
      </w:r>
    </w:p>
    <w:p w:rsidR="00BB7F97" w:rsidRDefault="00BB7F97" w:rsidP="00BB7F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bCs/>
          <w:sz w:val="24"/>
          <w:szCs w:val="24"/>
        </w:rPr>
        <w:t>в бункеры, расположенные на контейнерных площадках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F97" w:rsidRDefault="00BB7F97" w:rsidP="00BB7F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bCs/>
          <w:sz w:val="24"/>
          <w:szCs w:val="24"/>
        </w:rPr>
        <w:t>на специальных площадках для складирования крупногабаритных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F97" w:rsidRDefault="00BB7F97" w:rsidP="00BB7F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Вывоз крупногабаритных отходов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региональным оператором</w:t>
      </w:r>
      <w:r>
        <w:rPr>
          <w:rFonts w:ascii="Times New Roman" w:hAnsi="Times New Roman" w:cs="Times New Roman"/>
          <w:sz w:val="24"/>
          <w:szCs w:val="24"/>
        </w:rPr>
        <w:t>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BB7F97" w:rsidRDefault="00BB7F97" w:rsidP="00BB7F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</w:t>
      </w:r>
    </w:p>
    <w:p w:rsidR="00BB7F97" w:rsidRDefault="00BB7F97" w:rsidP="00BB7F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 несет ответственность за обращение с твердыми коммунальными отходами с момента погрузки таких отходов в мусоровоз.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ст.8 Федерального закона от 24.06.1998 N 89-ФЗ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полномочиям органов местного самоуправления муниципальных районов и городских поселений в области обращения с твердыми коммунальными отходами относятся: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(ред. от 30.12.2021) "Об общих принципах организации местного самоуправления в Российской Федерации" к вопросам местного значения относится 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проведении мероприятий по участию в обращении с ТКО.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текущий период с хозяйствующими субъектами региональным оператором АО «Куприт» заключено 430 договоров на вывоз твердых коммунальных отходов. В собственности организаций за исключением муниципальных образований находится 156 площадок ТКО. 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собственности муниципальных образований (администрация района и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>
        <w:rPr>
          <w:rFonts w:ascii="Times New Roman" w:hAnsi="Times New Roman" w:cs="Times New Roman"/>
          <w:sz w:val="24"/>
          <w:szCs w:val="24"/>
        </w:rPr>
        <w:t>) имеется всего 209 контейнерных площадок на 331 контейнер, в том числе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городскому поселению – 46 на 97 контейнеров; 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сельских поселениях – 163 на 234 контейнеров.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Обустроено 131 существующих контейнерных площадок.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требуется обустроить 78 существующих контейнерных площадок, где основание площадок в грунтовом исполнении либо не имеется ограждения, количество необустроенных сократилось на 26 %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стоимость одного железного контейнера емкостью 1.1 м3 составляет около 20 тыс. руб., министерство финансов Кировской области разъяснило письмом от 10.02.2023 г., что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районе не может приобретать контейнеры за счет бюджета района, так как данный вопрос не относится к полномочиям органов местного самоуправления, данное мнение отличается от позиции министерства охраны окружающей среды.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2024 году АО «Куприт» в безвозмездное пользование в администрацию района передано 135 контейнеров, для установки на вновь созданные площадки в 2023 году и для частичной замены пришедших в негодность контейнеров объемом 0,75 м3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евроконтейнеры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объемом 1,1 м3.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Помешочный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сбор осуществляется в 61 местах, сократилось на 60%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отказаться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помешочного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сбора необходимо создать 61 новых площадок на территориях сельских поселений (Рублевское,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Лопьяльское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сельские поселения и иные населенные пункты с малой численностью населения).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создано вновь: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 площадок ТКО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Лопьяльского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сумму 642 708,22 руб.; 2 площадки на территории Русско-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сумму 214 672,04 рублей, где предусмотрены места для установки контейнеров для раздельного сбора мусора;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 аналогичных площадок ТКО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г.Уржуме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сумму 2 154 904,64 руб.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заключен муниципальный контракт с ООО «Ресурс» на создание 7 площадок в с. Русский-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сумму 743 229,44 руб.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заключенному соглашению с министерством в 2027г будет выделено 1 715 894,60 руб.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обустройства и создания новых площадок ТКО необходимо предусмотреть чуть более 8,5 млн. руб.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01.03.2025 в целом сбором и вывозом ТКО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охвачено  100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и 74% в сельских поселениях. 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Региональным оператором по Кировской области в сфере обращения с ТКО АО «Куприт» в 2024 году заключен договор подряда с ООО «Вятская Экологическая Компания» на вывоз в 2025 году твердых коммунальных отходов, он же и является перевозчиком ТКО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министерства охраны окружающей среды Кировской области от 14.12.2021 г. № 23 утверждена территориальная схема обращения с ТКО, согласно которой вывоз коммунальных отходов с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производится на полигон ТБО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пгт.Суна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этому же распоряжению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утверждены места временного накопления отходов сроком до 11 месяцев кроме контейнерных площадок для труднодоступных и удаленных населенных пунктов, в которых наблюдается временное (сезонное) прерывание автомобильного сообщения.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таких мест нет.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пос.Пиляндыш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пос.Донаурово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Байса, с. Буйское,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д.Ешпаево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д.Кизерь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согласия местных жителей, полученного на сельских сходах, в текущем году производится выдача мусорных пакетов емкостью 120 литров соответственно 5452 штуки, для целей накопления их во внутридомовых хозяйствах до установления автомобильного сообщения.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43:35:470701:151, расположенный вблизи закрытого полигона ТБО, в результате проведенной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длительной работы о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распоряжением Правительства Кировской области от 14.03.2023 г. переведен из категории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назначения, для целей временного размещения отходов V класса - практически неопасные отходы. 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земельный участок разделен на два участка, один из которых по договору безвозмездного пользования имуществом передан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настоящее время на нем временно складируются отходы указанного класса опасности. Утилизация допускается путем сжигания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с соблюдением норм пожарной безопасности, данный вид работ будет осуществлен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предположительно в осенне-зимний период. 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второму участку на стадии заключения с ООО «Вятской экологической компанией» соглашения по содержанию его и прилегающей территории к существующей на нем контейнерной площадке.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позиции арбитражного суда Ульяновской области по делу № А72-13684/2021уличный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смёт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образующийся при уборке придомовой территории, растительные отходы при уходе за газонами, цветниками и растительные отходы при уходе за древесными посадками являются ТКО. судебное решение вступило в законную силу.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«Рекультивации полигона твердых бытовых отходов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Кировской области» на сумму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39 133 754,99 руб. выполнены в полном объеме, в качестве подрядчика выступал ООО «НПО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ТехАльянс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проведении мероприятий по ликвидации несанкционированных свалок.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2012 года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проводилась работа по инвентаризации и ранжированию объектов размещения бытовых отходов (свалок). По результатам ранжирования было инвентаризировано 43 свалки ТБО, из них 15 свалок были ликвидированы и исключены из реестра, 12 свалок были ликвидированы в 2013 году с помощью участия в областной целевой программе по ликвидации несанкционированных свалок, прошедших инвентаризацию. Из областного бюджета на ликвидацию было привлечено 5,2 млн. рублей, денежные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составили 1,3 млн. рублей.  В последующие годы ликвидация несанкционированных свалок производилась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входит содержание ранее ликвидированных несанкционированных свалок в течение 3 лет.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2014-2016 года было осуществлено содержание 12 таких свалок ТБО; 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года ликвидирована 1 свалка (у леса в верхней части ул. Энергетиков гор. Уржума);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района № 126 от 12.02.2018 г. утвержден новый плановый график закрытия, ликвидации несанкционированных свалок.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ликвидировано 2 свалки (0,5 км. от с. Байса; 1,2 км. от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Ешпаево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ликвидирована 2 свалка (0,7 км. от п. Лебедевский; 0,5 км. от д. Орешник);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ликвидированы 3 несанкционированные свалки: в Лазаревском сельском поселении в 0,2км. от д. Васькино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0,8 км. от с. Байса на общую сумму 150.0 тыс. руб. Договор на оказание услуг был заключен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УржумГазСервис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+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поч.Лебедевский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ликвидирована свалка (0,5 км. от с. Рождественское); выделены денежные средства из бюджета района на сумму 199 тыс. руб.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 ликвидирована свалка с привлечением средств из областного бюджета на сумму 4118079,82 (0,4 км. от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Цепочкино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ликвидирована свалка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877 526,13 руб. с привлечением средств из областного бюджета 644 899,41 руб.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ликвидирована свалка в 0,5 км. от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Донаурово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участием областного бюджета на сумму 2 338 569,74руб., а также за счет средств бюджета района: в 0,6 км. от д. Русское-Тимкино; 1,5 км. от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0,4 км. от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сумму 2 989 763,23 руб.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вышеуказанного графика до 2026 года необходимо провести мероприятия по ликвидации и рекультивации несанкционированных свалок: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рекультивация 1 свалки (1,2 км. от с. Буйское); рекультивация 1 свалки (1,2 км. от с. Шурма).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2025 году иными межбюджетными трансфертами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 ликвидацию несанкционированных (стихийных) мест размещения бытовых (коммунальных) отходов из бюджета района выделено 2 850 160 руб. свалки находятся: по ул. Подгорная в г. Уржуме (от ул. Советская до ул. Красная; от ул. Красная до ул. Кирова; от ул. Кирова до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свалка на территории земельного участка с кадастровым номером 43:35:310103 в районе газовой заправочной станции; свалка на территории земельного участка с кадастровым номером 43:35:310156:89, по направлению ул. Заречная, в северо-восточной стороне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"Дружба".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Задачи.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администрации района в сфере экологии на 2025 и последующие периоды остаются: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обустройство контейнерных площадок, организация работы по сбору и вывозу ТКО в каждом населенном пункте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работа по ликвидации несанкционированных свалок;</w:t>
      </w:r>
    </w:p>
    <w:p w:rsidR="00BB7F97" w:rsidRDefault="00BB7F97" w:rsidP="00BB7F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исполнение полномочий по решению вопроса участия в организации деятельности по транспортированию ТКО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B7F97" w:rsidRDefault="00BB7F97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41DB" w:rsidSect="004A6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3D6"/>
    <w:multiLevelType w:val="hybridMultilevel"/>
    <w:tmpl w:val="F2A8C5E0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 w15:restartNumberingAfterBreak="0">
    <w:nsid w:val="0C5D08A5"/>
    <w:multiLevelType w:val="hybridMultilevel"/>
    <w:tmpl w:val="8446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68A7"/>
    <w:multiLevelType w:val="hybridMultilevel"/>
    <w:tmpl w:val="D048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A5D81"/>
    <w:multiLevelType w:val="hybridMultilevel"/>
    <w:tmpl w:val="C5A8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36E6"/>
    <w:multiLevelType w:val="hybridMultilevel"/>
    <w:tmpl w:val="BAF61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D2346"/>
    <w:multiLevelType w:val="hybridMultilevel"/>
    <w:tmpl w:val="E238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7D8"/>
    <w:multiLevelType w:val="hybridMultilevel"/>
    <w:tmpl w:val="2730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69"/>
    <w:rsid w:val="00061348"/>
    <w:rsid w:val="00084C40"/>
    <w:rsid w:val="000939D8"/>
    <w:rsid w:val="00093D68"/>
    <w:rsid w:val="000A77D7"/>
    <w:rsid w:val="000B2C36"/>
    <w:rsid w:val="000E7F8E"/>
    <w:rsid w:val="001028D6"/>
    <w:rsid w:val="00113807"/>
    <w:rsid w:val="001359A5"/>
    <w:rsid w:val="00171DE1"/>
    <w:rsid w:val="00185FE7"/>
    <w:rsid w:val="00201C5C"/>
    <w:rsid w:val="002041DB"/>
    <w:rsid w:val="00213127"/>
    <w:rsid w:val="00274B67"/>
    <w:rsid w:val="0028387E"/>
    <w:rsid w:val="00296D87"/>
    <w:rsid w:val="002E28DC"/>
    <w:rsid w:val="00327F22"/>
    <w:rsid w:val="003935DB"/>
    <w:rsid w:val="003C1DCA"/>
    <w:rsid w:val="003F1220"/>
    <w:rsid w:val="003F3071"/>
    <w:rsid w:val="0044214B"/>
    <w:rsid w:val="00474B36"/>
    <w:rsid w:val="004A6968"/>
    <w:rsid w:val="004B4759"/>
    <w:rsid w:val="004D2A03"/>
    <w:rsid w:val="004F7DE7"/>
    <w:rsid w:val="00554F69"/>
    <w:rsid w:val="00586FA8"/>
    <w:rsid w:val="00591CEB"/>
    <w:rsid w:val="00592FAD"/>
    <w:rsid w:val="005A60CD"/>
    <w:rsid w:val="005D0A53"/>
    <w:rsid w:val="005E48D8"/>
    <w:rsid w:val="006B1928"/>
    <w:rsid w:val="006E0033"/>
    <w:rsid w:val="006F6221"/>
    <w:rsid w:val="006F6A30"/>
    <w:rsid w:val="00791823"/>
    <w:rsid w:val="00792911"/>
    <w:rsid w:val="007A69A8"/>
    <w:rsid w:val="007D53BB"/>
    <w:rsid w:val="007D7EFC"/>
    <w:rsid w:val="007F769B"/>
    <w:rsid w:val="00803372"/>
    <w:rsid w:val="00832286"/>
    <w:rsid w:val="00837B9B"/>
    <w:rsid w:val="00861B82"/>
    <w:rsid w:val="008773F7"/>
    <w:rsid w:val="00892A4C"/>
    <w:rsid w:val="008A515B"/>
    <w:rsid w:val="008B4CC9"/>
    <w:rsid w:val="008B6B11"/>
    <w:rsid w:val="00961F32"/>
    <w:rsid w:val="009A027F"/>
    <w:rsid w:val="009D21BF"/>
    <w:rsid w:val="009D5F49"/>
    <w:rsid w:val="009E30C3"/>
    <w:rsid w:val="009E728C"/>
    <w:rsid w:val="00A51297"/>
    <w:rsid w:val="00A754F2"/>
    <w:rsid w:val="00AD1FD4"/>
    <w:rsid w:val="00B144FD"/>
    <w:rsid w:val="00B54951"/>
    <w:rsid w:val="00B95874"/>
    <w:rsid w:val="00BB5A23"/>
    <w:rsid w:val="00BB6A8C"/>
    <w:rsid w:val="00BB7F97"/>
    <w:rsid w:val="00BC085F"/>
    <w:rsid w:val="00C024AC"/>
    <w:rsid w:val="00C04953"/>
    <w:rsid w:val="00C37E66"/>
    <w:rsid w:val="00C40A26"/>
    <w:rsid w:val="00CE0A63"/>
    <w:rsid w:val="00CE639C"/>
    <w:rsid w:val="00D313C7"/>
    <w:rsid w:val="00D826A0"/>
    <w:rsid w:val="00DE6033"/>
    <w:rsid w:val="00DF34B2"/>
    <w:rsid w:val="00E01732"/>
    <w:rsid w:val="00E019FC"/>
    <w:rsid w:val="00E2167B"/>
    <w:rsid w:val="00E453BE"/>
    <w:rsid w:val="00E67E5F"/>
    <w:rsid w:val="00EA4FB8"/>
    <w:rsid w:val="00EC702C"/>
    <w:rsid w:val="00EE55FE"/>
    <w:rsid w:val="00F00D02"/>
    <w:rsid w:val="00F02515"/>
    <w:rsid w:val="00F04785"/>
    <w:rsid w:val="00F171E4"/>
    <w:rsid w:val="00F27155"/>
    <w:rsid w:val="00F74148"/>
    <w:rsid w:val="00FB25B2"/>
    <w:rsid w:val="00FD69F8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2A70A-29E3-4643-BFAC-2B399342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9B"/>
    <w:pPr>
      <w:ind w:left="720"/>
      <w:contextualSpacing/>
    </w:pPr>
  </w:style>
  <w:style w:type="paragraph" w:customStyle="1" w:styleId="1c">
    <w:name w:val="Абзац1 c отступом"/>
    <w:basedOn w:val="a"/>
    <w:rsid w:val="00F27155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 Spacing"/>
    <w:uiPriority w:val="1"/>
    <w:qFormat/>
    <w:rsid w:val="00185FE7"/>
    <w:pPr>
      <w:spacing w:after="0" w:line="240" w:lineRule="auto"/>
    </w:pPr>
  </w:style>
  <w:style w:type="paragraph" w:customStyle="1" w:styleId="ConsPlusTitle">
    <w:name w:val="ConsPlusTitle"/>
    <w:uiPriority w:val="99"/>
    <w:rsid w:val="004A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D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37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751E-FF18-4C34-9AAF-87933116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Уржумского муниципального района</Company>
  <LinksUpToDate>false</LinksUpToDate>
  <CharactersWithSpaces>15956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Кокорина Галина Геннадьевна</cp:lastModifiedBy>
  <cp:revision>15</cp:revision>
  <cp:lastPrinted>2022-05-04T07:45:00Z</cp:lastPrinted>
  <dcterms:created xsi:type="dcterms:W3CDTF">2024-05-21T14:32:00Z</dcterms:created>
  <dcterms:modified xsi:type="dcterms:W3CDTF">2025-03-27T07:30:00Z</dcterms:modified>
</cp:coreProperties>
</file>